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63146">
      <w:pPr>
        <w:jc w:val="center"/>
        <w:rPr>
          <w:rFonts w:ascii="Times New Roman" w:hAnsi="Times New Roman"/>
          <w:b/>
          <w:bCs/>
          <w:sz w:val="15"/>
          <w:szCs w:val="15"/>
        </w:rPr>
      </w:pPr>
    </w:p>
    <w:p w14:paraId="7A8CA0DF">
      <w:pPr>
        <w:jc w:val="center"/>
        <w:rPr>
          <w:rFonts w:ascii="Times New Roman" w:hAnsi="Times New Roman"/>
          <w:b/>
          <w:bCs/>
          <w:sz w:val="15"/>
          <w:szCs w:val="15"/>
        </w:rPr>
      </w:pPr>
    </w:p>
    <w:p w14:paraId="57764E01">
      <w:pPr>
        <w:jc w:val="center"/>
        <w:rPr>
          <w:rFonts w:ascii="Times New Roman" w:hAnsi="Times New Roman"/>
          <w:b/>
          <w:bCs/>
          <w:sz w:val="32"/>
          <w:szCs w:val="32"/>
        </w:rPr>
      </w:pPr>
    </w:p>
    <w:p w14:paraId="0C6DFFA6">
      <w:pPr>
        <w:rPr>
          <w:rFonts w:ascii="Times New Roman" w:hAnsi="Times New Roman"/>
          <w:b/>
          <w:bCs/>
          <w:sz w:val="32"/>
          <w:szCs w:val="32"/>
        </w:rPr>
      </w:pPr>
    </w:p>
    <w:p w14:paraId="1A2BB167">
      <w:pPr>
        <w:rPr>
          <w:rFonts w:ascii="Times New Roman" w:hAnsi="Times New Roman"/>
          <w:b/>
          <w:bCs/>
          <w:sz w:val="32"/>
          <w:szCs w:val="32"/>
        </w:rPr>
      </w:pPr>
    </w:p>
    <w:p w14:paraId="46F0D52B">
      <w:pPr>
        <w:rPr>
          <w:rFonts w:ascii="Times New Roman" w:hAnsi="Times New Roman"/>
          <w:b/>
          <w:bCs/>
          <w:sz w:val="32"/>
          <w:szCs w:val="32"/>
        </w:rPr>
      </w:pPr>
    </w:p>
    <w:p w14:paraId="330AFCE9">
      <w:pPr>
        <w:rPr>
          <w:rFonts w:ascii="Times New Roman" w:hAnsi="Times New Roman"/>
          <w:b/>
          <w:bCs/>
          <w:sz w:val="32"/>
          <w:szCs w:val="32"/>
        </w:rPr>
      </w:pPr>
    </w:p>
    <w:p w14:paraId="132F134F">
      <w:pPr>
        <w:rPr>
          <w:rFonts w:ascii="Times New Roman" w:hAnsi="Times New Roman"/>
          <w:b/>
          <w:bCs/>
          <w:sz w:val="32"/>
          <w:szCs w:val="32"/>
        </w:rPr>
      </w:pPr>
    </w:p>
    <w:p w14:paraId="1FE1BC4C">
      <w:pPr>
        <w:rPr>
          <w:rFonts w:ascii="Times New Roman" w:hAnsi="Times New Roman"/>
          <w:b/>
          <w:bCs/>
          <w:sz w:val="32"/>
          <w:szCs w:val="32"/>
        </w:rPr>
      </w:pPr>
    </w:p>
    <w:p w14:paraId="356C3BD1">
      <w:pPr>
        <w:jc w:val="center"/>
        <w:rPr>
          <w:rFonts w:ascii="Times New Roman" w:hAnsi="Times New Roman"/>
          <w:b/>
          <w:bCs/>
          <w:sz w:val="32"/>
          <w:szCs w:val="32"/>
        </w:rPr>
      </w:pPr>
      <w:r>
        <w:rPr>
          <w:rFonts w:hint="eastAsia" w:ascii="Times New Roman" w:hAnsi="Times New Roman"/>
          <w:b/>
          <w:bCs/>
          <w:sz w:val="84"/>
          <w:szCs w:val="84"/>
        </w:rPr>
        <w:t>《学前教育简史》</w:t>
      </w:r>
    </w:p>
    <w:p w14:paraId="4EC70CC7">
      <w:pPr>
        <w:jc w:val="center"/>
        <w:rPr>
          <w:rFonts w:ascii="Times New Roman" w:hAnsi="Times New Roman"/>
          <w:b/>
          <w:bCs/>
          <w:sz w:val="84"/>
          <w:szCs w:val="84"/>
        </w:rPr>
      </w:pPr>
      <w:r>
        <w:rPr>
          <w:rFonts w:hint="eastAsia" w:ascii="Times New Roman" w:hAnsi="Times New Roman"/>
          <w:b/>
          <w:bCs/>
          <w:sz w:val="52"/>
          <w:szCs w:val="52"/>
        </w:rPr>
        <w:t>（第三版）</w:t>
      </w:r>
    </w:p>
    <w:p w14:paraId="49097F1B">
      <w:pPr>
        <w:jc w:val="center"/>
        <w:rPr>
          <w:rFonts w:ascii="Times New Roman" w:hAnsi="Times New Roman"/>
          <w:b/>
          <w:bCs/>
          <w:sz w:val="72"/>
          <w:szCs w:val="72"/>
        </w:rPr>
      </w:pPr>
    </w:p>
    <w:p w14:paraId="1ECDD011">
      <w:pPr>
        <w:jc w:val="center"/>
        <w:rPr>
          <w:rFonts w:ascii="Times New Roman" w:hAnsi="Times New Roman"/>
          <w:b/>
          <w:bCs/>
          <w:sz w:val="72"/>
          <w:szCs w:val="72"/>
        </w:rPr>
      </w:pPr>
      <w:r>
        <w:rPr>
          <w:rFonts w:hint="eastAsia" w:ascii="Times New Roman" w:hAnsi="Times New Roman"/>
          <w:b/>
          <w:bCs/>
          <w:sz w:val="72"/>
          <w:szCs w:val="72"/>
        </w:rPr>
        <w:t>教案</w:t>
      </w:r>
    </w:p>
    <w:p w14:paraId="1641BD40">
      <w:pPr>
        <w:jc w:val="center"/>
        <w:rPr>
          <w:rFonts w:ascii="Times New Roman" w:hAnsi="Times New Roman"/>
          <w:b/>
          <w:bCs/>
          <w:sz w:val="28"/>
          <w:szCs w:val="28"/>
        </w:rPr>
      </w:pPr>
    </w:p>
    <w:p w14:paraId="0E784DAF">
      <w:pPr>
        <w:rPr>
          <w:rFonts w:ascii="Times New Roman" w:hAnsi="Times New Roman"/>
          <w:b/>
          <w:bCs/>
          <w:sz w:val="28"/>
          <w:szCs w:val="28"/>
        </w:rPr>
      </w:pPr>
    </w:p>
    <w:p w14:paraId="662869DD">
      <w:pPr>
        <w:rPr>
          <w:rFonts w:ascii="Times New Roman" w:hAnsi="Times New Roman"/>
          <w:b/>
          <w:bCs/>
          <w:sz w:val="28"/>
          <w:szCs w:val="28"/>
        </w:rPr>
      </w:pPr>
    </w:p>
    <w:p w14:paraId="0988E6EE">
      <w:pPr>
        <w:jc w:val="center"/>
        <w:rPr>
          <w:rFonts w:ascii="Times New Roman" w:hAnsi="Times New Roman"/>
          <w:b/>
          <w:bCs/>
          <w:sz w:val="28"/>
          <w:szCs w:val="28"/>
        </w:rPr>
      </w:pPr>
    </w:p>
    <w:p w14:paraId="21BE68F2">
      <w:pPr>
        <w:jc w:val="center"/>
        <w:rPr>
          <w:rFonts w:ascii="Times New Roman" w:hAnsi="Times New Roman"/>
          <w:b/>
          <w:bCs/>
          <w:sz w:val="28"/>
          <w:szCs w:val="28"/>
        </w:rPr>
      </w:pPr>
    </w:p>
    <w:p w14:paraId="010ED4F4">
      <w:pPr>
        <w:jc w:val="center"/>
        <w:rPr>
          <w:rFonts w:ascii="Times New Roman" w:hAnsi="Times New Roman"/>
          <w:b/>
          <w:bCs/>
          <w:sz w:val="28"/>
          <w:szCs w:val="28"/>
        </w:rPr>
      </w:pPr>
    </w:p>
    <w:p w14:paraId="34FAA393">
      <w:pPr>
        <w:rPr>
          <w:rFonts w:ascii="Times New Roman" w:hAnsi="Times New Roman"/>
          <w:b/>
          <w:bCs/>
          <w:sz w:val="28"/>
          <w:szCs w:val="28"/>
        </w:rPr>
      </w:pPr>
    </w:p>
    <w:p w14:paraId="2CF5B963">
      <w:pPr>
        <w:rPr>
          <w:rFonts w:ascii="Times New Roman" w:hAnsi="Times New Roman"/>
          <w:b/>
          <w:bCs/>
          <w:sz w:val="28"/>
          <w:szCs w:val="28"/>
        </w:rPr>
      </w:pPr>
    </w:p>
    <w:p w14:paraId="48BABBC5">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2158426F">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2158426F">
                      <w:pPr>
                        <w:rPr>
                          <w:color w:val="FFFFFF" w:themeColor="background1"/>
                          <w14:textFill>
                            <w14:noFill/>
                          </w14:textFill>
                        </w:rPr>
                      </w:pPr>
                    </w:p>
                  </w:txbxContent>
                </v:textbox>
              </v:rect>
            </w:pict>
          </mc:Fallback>
        </mc:AlternateContent>
      </w:r>
    </w:p>
    <w:p w14:paraId="67F07877">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55B8E5A5">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4F5C4576">
      <w:pPr>
        <w:pStyle w:val="2"/>
        <w:bidi w:val="0"/>
        <w:jc w:val="center"/>
      </w:pPr>
      <w:r>
        <w:rPr>
          <w:rFonts w:hint="eastAsia"/>
          <w:lang w:val="en-US" w:eastAsia="zh-CN"/>
        </w:rPr>
        <w:t xml:space="preserve">项目十  </w:t>
      </w:r>
      <w:r>
        <w:rPr>
          <w:rFonts w:hint="eastAsia"/>
        </w:rPr>
        <w:t>文艺复兴的学前教育</w:t>
      </w: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4B8B20B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B73E961">
            <w:pPr>
              <w:ind w:hanging="8"/>
              <w:jc w:val="center"/>
              <w:rPr>
                <w:rFonts w:ascii="宋体" w:hAnsi="宋体" w:cs="宋体"/>
                <w:b/>
                <w:bCs w:val="0"/>
                <w:color w:val="806000" w:themeColor="accent4" w:themeShade="80"/>
                <w:sz w:val="28"/>
                <w:szCs w:val="28"/>
              </w:rPr>
            </w:pPr>
            <w:bookmarkStart w:id="8" w:name="_GoBack" w:colFirst="0" w:colLast="0"/>
            <w:r>
              <w:rPr>
                <w:rFonts w:hint="eastAsia" w:ascii="宋体" w:hAnsi="宋体" w:cs="宋体"/>
                <w:b/>
                <w:bCs w:val="0"/>
                <w:color w:val="806000" w:themeColor="accent4" w:themeShade="80"/>
                <w:sz w:val="28"/>
                <w:szCs w:val="28"/>
              </w:rPr>
              <w:t>课题</w:t>
            </w:r>
          </w:p>
        </w:tc>
        <w:tc>
          <w:tcPr>
            <w:tcW w:w="9394" w:type="dxa"/>
            <w:gridSpan w:val="2"/>
            <w:tcBorders>
              <w:tl2br w:val="nil"/>
              <w:tr2bl w:val="nil"/>
            </w:tcBorders>
            <w:vAlign w:val="center"/>
          </w:tcPr>
          <w:p w14:paraId="4DDF3FA8">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文艺复兴的学前教育</w:t>
            </w:r>
          </w:p>
        </w:tc>
      </w:tr>
      <w:tr w14:paraId="4865461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84669BC">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课时</w:t>
            </w:r>
          </w:p>
        </w:tc>
        <w:tc>
          <w:tcPr>
            <w:tcW w:w="9394" w:type="dxa"/>
            <w:gridSpan w:val="2"/>
            <w:tcBorders>
              <w:tl2br w:val="nil"/>
              <w:tr2bl w:val="nil"/>
            </w:tcBorders>
            <w:vAlign w:val="center"/>
          </w:tcPr>
          <w:p w14:paraId="60D3B3B0">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27B89E0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5B11D37">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教学目标</w:t>
            </w:r>
          </w:p>
        </w:tc>
        <w:tc>
          <w:tcPr>
            <w:tcW w:w="9394" w:type="dxa"/>
            <w:gridSpan w:val="2"/>
            <w:tcBorders>
              <w:tl2br w:val="nil"/>
              <w:tr2bl w:val="nil"/>
            </w:tcBorders>
            <w:vAlign w:val="center"/>
          </w:tcPr>
          <w:p w14:paraId="42A603EF">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45735580">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1.掌握伊拉斯谟的儿童教育观。</w:t>
            </w:r>
          </w:p>
          <w:p w14:paraId="75113E79">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2.理解蒙田的儿童教育观。</w:t>
            </w:r>
          </w:p>
          <w:p w14:paraId="3629E323">
            <w:pPr>
              <w:spacing w:line="360" w:lineRule="auto"/>
              <w:ind w:firstLine="480" w:firstLineChars="200"/>
              <w:rPr>
                <w:rFonts w:ascii="Times New Roman" w:hAnsi="Times New Roman"/>
                <w:sz w:val="24"/>
                <w:szCs w:val="24"/>
              </w:rPr>
            </w:pPr>
            <w:r>
              <w:rPr>
                <w:rFonts w:hint="eastAsia" w:ascii="Times New Roman" w:hAnsi="Times New Roman"/>
                <w:sz w:val="24"/>
                <w:szCs w:val="24"/>
              </w:rPr>
              <w:t>3.了解夸美纽斯对母育学校的描述。</w:t>
            </w:r>
            <w:bookmarkStart w:id="0" w:name="OLE_LINK1"/>
          </w:p>
          <w:p w14:paraId="02FAA214">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0"/>
          <w:p w14:paraId="7091E6A5">
            <w:pPr>
              <w:spacing w:line="360" w:lineRule="auto"/>
              <w:ind w:firstLine="480" w:firstLineChars="200"/>
              <w:rPr>
                <w:rFonts w:hint="eastAsia" w:ascii="Times New Roman" w:hAnsi="宋体"/>
                <w:bCs/>
                <w:sz w:val="24"/>
                <w:szCs w:val="24"/>
              </w:rPr>
            </w:pPr>
            <w:r>
              <w:rPr>
                <w:rFonts w:hint="eastAsia" w:ascii="Times New Roman" w:hAnsi="宋体"/>
                <w:bCs/>
                <w:sz w:val="24"/>
                <w:szCs w:val="24"/>
              </w:rPr>
              <w:t>1.分析伊拉斯谟倡导“不可把幼小儿童视为小大人的”意义所在。</w:t>
            </w:r>
          </w:p>
          <w:p w14:paraId="49F12252">
            <w:pPr>
              <w:spacing w:line="360" w:lineRule="auto"/>
              <w:ind w:firstLine="480" w:firstLineChars="200"/>
              <w:rPr>
                <w:rFonts w:hint="eastAsia" w:ascii="Times New Roman" w:hAnsi="宋体"/>
                <w:bCs/>
                <w:sz w:val="24"/>
                <w:szCs w:val="24"/>
              </w:rPr>
            </w:pPr>
            <w:r>
              <w:rPr>
                <w:rFonts w:hint="eastAsia" w:ascii="Times New Roman" w:hAnsi="宋体"/>
                <w:bCs/>
                <w:sz w:val="24"/>
                <w:szCs w:val="24"/>
              </w:rPr>
              <w:t>2.梳理蒙田主张教育者应遵循自然、顺应儿童天性的主张与亚里士多德自然教育观点的承继关系。</w:t>
            </w:r>
          </w:p>
          <w:p w14:paraId="183A52EB">
            <w:pPr>
              <w:spacing w:line="360" w:lineRule="auto"/>
              <w:ind w:firstLine="480" w:firstLineChars="200"/>
              <w:rPr>
                <w:rFonts w:ascii="Times New Roman" w:hAnsi="宋体"/>
                <w:bCs/>
                <w:sz w:val="24"/>
                <w:szCs w:val="24"/>
              </w:rPr>
            </w:pPr>
            <w:r>
              <w:rPr>
                <w:rFonts w:hint="eastAsia" w:ascii="Times New Roman" w:hAnsi="宋体"/>
                <w:bCs/>
                <w:sz w:val="24"/>
                <w:szCs w:val="24"/>
              </w:rPr>
              <w:t>3.分析夸美纽斯的“教育适应自然”原则，理解这一原则的进步意义和局限性。</w:t>
            </w:r>
          </w:p>
          <w:p w14:paraId="40958760">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148193E3">
            <w:pPr>
              <w:spacing w:line="360" w:lineRule="auto"/>
              <w:ind w:left="-6" w:firstLine="480" w:firstLineChars="200"/>
              <w:rPr>
                <w:rFonts w:ascii="Times New Roman" w:hAnsi="Times New Roman"/>
                <w:sz w:val="24"/>
                <w:szCs w:val="24"/>
              </w:rPr>
            </w:pPr>
            <w:r>
              <w:rPr>
                <w:rFonts w:hint="eastAsia" w:ascii="Times New Roman" w:hAnsi="Times New Roman"/>
                <w:sz w:val="24"/>
                <w:szCs w:val="24"/>
              </w:rPr>
              <w:t>通过对“文艺复兴”的产生背景、基本含义及其进步意义的解读，理解每一种进步思想的产生都是有其特定背景的。</w:t>
            </w:r>
          </w:p>
        </w:tc>
      </w:tr>
      <w:tr w14:paraId="0FF3629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11E1FE7">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教学重难点</w:t>
            </w:r>
          </w:p>
        </w:tc>
        <w:tc>
          <w:tcPr>
            <w:tcW w:w="9394" w:type="dxa"/>
            <w:gridSpan w:val="2"/>
            <w:tcBorders>
              <w:tl2br w:val="nil"/>
              <w:tr2bl w:val="nil"/>
            </w:tcBorders>
            <w:vAlign w:val="center"/>
          </w:tcPr>
          <w:p w14:paraId="0B6542B9">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1.文艺复兴的基本含义。</w:t>
            </w:r>
          </w:p>
          <w:p w14:paraId="2881CA16">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2.伊拉斯谟的儿童教育观。</w:t>
            </w:r>
          </w:p>
          <w:p w14:paraId="7EF26380">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3.蒙田的儿童教育观。</w:t>
            </w:r>
          </w:p>
          <w:p w14:paraId="71285097">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4.夸美纽斯是西方近代教育理论的奠基人。</w:t>
            </w:r>
          </w:p>
          <w:p w14:paraId="10313827">
            <w:pPr>
              <w:spacing w:line="360" w:lineRule="auto"/>
              <w:ind w:left="-6" w:firstLine="480" w:firstLineChars="200"/>
              <w:rPr>
                <w:rFonts w:ascii="Times New Roman" w:hAnsi="Times New Roman"/>
                <w:sz w:val="24"/>
                <w:szCs w:val="24"/>
              </w:rPr>
            </w:pPr>
            <w:r>
              <w:rPr>
                <w:rFonts w:hint="eastAsia" w:ascii="Times New Roman" w:hAnsi="Times New Roman"/>
                <w:sz w:val="24"/>
                <w:szCs w:val="24"/>
              </w:rPr>
              <w:t>5.《大教学论》标志着教育学从此成为一门独立学科。</w:t>
            </w:r>
          </w:p>
        </w:tc>
      </w:tr>
      <w:tr w14:paraId="68914CC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F7CFF8E">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教学方法</w:t>
            </w:r>
          </w:p>
        </w:tc>
        <w:tc>
          <w:tcPr>
            <w:tcW w:w="9394" w:type="dxa"/>
            <w:gridSpan w:val="2"/>
            <w:tcBorders>
              <w:tl2br w:val="nil"/>
              <w:tr2bl w:val="nil"/>
            </w:tcBorders>
            <w:vAlign w:val="center"/>
          </w:tcPr>
          <w:p w14:paraId="2BFCCCC1">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06C1196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9A65304">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教学用具</w:t>
            </w:r>
          </w:p>
        </w:tc>
        <w:tc>
          <w:tcPr>
            <w:tcW w:w="9394" w:type="dxa"/>
            <w:gridSpan w:val="2"/>
            <w:tcBorders>
              <w:tl2br w:val="nil"/>
              <w:tr2bl w:val="nil"/>
            </w:tcBorders>
            <w:vAlign w:val="center"/>
          </w:tcPr>
          <w:p w14:paraId="4CACE9FC">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48FCA9B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4C3391B">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教学设计</w:t>
            </w:r>
          </w:p>
        </w:tc>
        <w:tc>
          <w:tcPr>
            <w:tcW w:w="9394" w:type="dxa"/>
            <w:gridSpan w:val="2"/>
            <w:tcBorders>
              <w:tl2br w:val="nil"/>
              <w:tr2bl w:val="nil"/>
            </w:tcBorders>
            <w:vAlign w:val="center"/>
          </w:tcPr>
          <w:p w14:paraId="5BDAAEBD">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50204797">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7DD9BC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4B0EC5A1">
            <w:pPr>
              <w:spacing w:line="360" w:lineRule="auto"/>
              <w:ind w:hanging="8"/>
              <w:jc w:val="center"/>
              <w:rPr>
                <w:rFonts w:ascii="宋体" w:hAnsi="宋体" w:cs="宋体"/>
                <w:b/>
                <w:bCs w:val="0"/>
                <w:color w:val="FFFFFF" w:themeColor="background1"/>
                <w:sz w:val="28"/>
                <w:szCs w:val="28"/>
                <w14:textFill>
                  <w14:solidFill>
                    <w14:schemeClr w14:val="bg1"/>
                  </w14:solidFill>
                </w14:textFill>
              </w:rPr>
            </w:pPr>
            <w:r>
              <w:rPr>
                <w:rFonts w:hint="eastAsia" w:ascii="宋体" w:hAnsi="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4FC35DF3">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2A4C1DA">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0680CDF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B69E86C">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考勤</w:t>
            </w:r>
          </w:p>
          <w:p w14:paraId="7111962C">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（2min）</w:t>
            </w:r>
          </w:p>
        </w:tc>
        <w:tc>
          <w:tcPr>
            <w:tcW w:w="7479" w:type="dxa"/>
            <w:tcBorders>
              <w:tl2br w:val="nil"/>
              <w:tr2bl w:val="nil"/>
            </w:tcBorders>
            <w:vAlign w:val="center"/>
          </w:tcPr>
          <w:p w14:paraId="203FA0B4">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580813D3">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53D9042B">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6FA0958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8B677CC">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02903600">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47CEBED9">
            <w:pPr>
              <w:spacing w:line="360" w:lineRule="auto"/>
              <w:rPr>
                <w:rFonts w:ascii="Times New Roman" w:hAnsi="Times New Roman"/>
                <w:color w:val="C00000"/>
                <w:sz w:val="24"/>
                <w:szCs w:val="24"/>
              </w:rPr>
            </w:pPr>
            <w:r>
              <w:rPr>
                <w:rFonts w:hint="eastAsia" w:ascii="Times New Roman" w:hAnsi="Times New Roman"/>
                <w:color w:val="C00000"/>
                <w:sz w:val="24"/>
                <w:szCs w:val="24"/>
              </w:rPr>
              <w:t>【教师】</w:t>
            </w:r>
            <w:bookmarkStart w:id="1" w:name="OLE_LINK5"/>
            <w:r>
              <w:rPr>
                <w:rFonts w:hint="eastAsia" w:ascii="Times New Roman" w:hAnsi="Times New Roman"/>
                <w:color w:val="C00000"/>
                <w:sz w:val="24"/>
                <w:szCs w:val="24"/>
              </w:rPr>
              <w:t>文艺复兴时期的教育改革</w:t>
            </w:r>
          </w:p>
          <w:bookmarkEnd w:id="1"/>
          <w:p w14:paraId="5E8813C7">
            <w:pPr>
              <w:spacing w:line="360" w:lineRule="auto"/>
              <w:ind w:firstLine="723" w:firstLineChars="300"/>
              <w:rPr>
                <w:rFonts w:ascii="宋体" w:hAnsi="宋体" w:cs="宋体"/>
                <w:b/>
                <w:bCs/>
                <w:sz w:val="24"/>
                <w:szCs w:val="24"/>
                <w:lang w:bidi="ar"/>
              </w:rPr>
            </w:pPr>
            <w:r>
              <w:rPr>
                <w:rFonts w:hint="eastAsia" w:ascii="宋体" w:hAnsi="宋体" w:cs="宋体"/>
                <w:b/>
                <w:bCs/>
                <w:sz w:val="24"/>
                <w:szCs w:val="24"/>
                <w:lang w:bidi="ar"/>
              </w:rPr>
              <w:t>一、文艺主义的特征及教育观念的转变</w:t>
            </w:r>
          </w:p>
          <w:p w14:paraId="3C8D2B9D">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文艺复兴”原意指人文科学的“复兴”。文艺复兴运动实质上是新兴资产阶级在意识形态领域掀起反封建、反教会的伟大思想文化运动。追求人的个性圆满发展。文艺复兴运动实质上是新兴资产阶级在意识形态领域掀起反封建、反教会的伟大思想文化运动。</w:t>
            </w:r>
          </w:p>
          <w:p w14:paraId="76DDF21D">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基本含义有二：一是指古希腊、古罗马文化的复兴；二是指人类精神的觉醒，反抗中世纪的精神桎梏，追求人的个性圆满发展。</w:t>
            </w:r>
          </w:p>
          <w:p w14:paraId="78B4781E">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二、伊拉斯谟的儿童教育观</w:t>
            </w:r>
          </w:p>
          <w:p w14:paraId="56FF6EF3">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伊拉斯谟出生于尼德兰，是文艺复兴时期著名的人文主义学者及教育家。</w:t>
            </w:r>
          </w:p>
          <w:p w14:paraId="06648BAC">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（一）教育的目的、任务</w:t>
            </w:r>
          </w:p>
          <w:p w14:paraId="6BE33725">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伊拉斯谟认为人并非生而为人，要成为人，必须通过教养、理性、道德的规范和约束。在他看来教育的目的融合在道德目的中，及培养“善良”的人。</w:t>
            </w:r>
          </w:p>
          <w:p w14:paraId="5839A3A7">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教育的任务则是在年轻人头脑里播下虔诚的种子，认真学习自由学科，掌握基本礼仪，为生活做好准备。</w:t>
            </w:r>
          </w:p>
          <w:p w14:paraId="246D454E">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（二）教育的作用及环境的重要性</w:t>
            </w:r>
          </w:p>
          <w:p w14:paraId="63E3C154">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他指出：教育无论是对于国家、君王还是平民百姓，都是极其重要的。此外，他呼吁国家担起教育年青一代的重任。他说：“一个国家的主要希望，在于它对青年人的适当的教育”。</w:t>
            </w:r>
          </w:p>
          <w:p w14:paraId="30DFF20A">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（三）论学前教育</w:t>
            </w:r>
          </w:p>
          <w:p w14:paraId="4D678412">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1.重视早期教育。</w:t>
            </w:r>
          </w:p>
          <w:p w14:paraId="33418CDF">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2.教育要遵循儿童身心发展的特点。</w:t>
            </w:r>
          </w:p>
          <w:p w14:paraId="764009C7">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3.学前教育的内容和方法</w:t>
            </w:r>
          </w:p>
          <w:p w14:paraId="42540748">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（1）热爱儿童。</w:t>
            </w:r>
          </w:p>
          <w:p w14:paraId="3AE38E7C">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（2）采取中庸之道。</w:t>
            </w:r>
          </w:p>
          <w:p w14:paraId="72CFE39C">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（3）通过有趣的故事。</w:t>
            </w:r>
          </w:p>
          <w:p w14:paraId="0E5C096F">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（4）采取直观教具。</w:t>
            </w:r>
          </w:p>
          <w:p w14:paraId="40F9A727">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三、蒙恬的儿童教育观</w:t>
            </w:r>
          </w:p>
          <w:p w14:paraId="6AA81963">
            <w:pPr>
              <w:spacing w:line="360" w:lineRule="auto"/>
              <w:ind w:firstLine="960" w:firstLineChars="4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蒙恬是法国16世纪后期文艺复兴时期的人文主义者、思想家、散文作家及教育家。</w:t>
            </w:r>
          </w:p>
          <w:p w14:paraId="03B55AF9">
            <w:pPr>
              <w:spacing w:line="360" w:lineRule="auto"/>
              <w:ind w:firstLine="960" w:firstLineChars="4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（一）教育目标——培养体智全面发展的绅士</w:t>
            </w:r>
          </w:p>
          <w:p w14:paraId="36DC7D27">
            <w:pPr>
              <w:spacing w:line="360" w:lineRule="auto"/>
              <w:ind w:firstLine="960" w:firstLineChars="4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（二）教育必须顺应儿童的天性</w:t>
            </w:r>
          </w:p>
          <w:p w14:paraId="22B89BE1">
            <w:pPr>
              <w:spacing w:line="360" w:lineRule="auto"/>
              <w:ind w:firstLine="960" w:firstLineChars="4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（三）论教育内容和教育方法</w:t>
            </w:r>
          </w:p>
          <w:p w14:paraId="753DD593">
            <w:pPr>
              <w:spacing w:line="360" w:lineRule="auto"/>
              <w:ind w:firstLine="960" w:firstLineChars="4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（四）论德育</w:t>
            </w:r>
          </w:p>
          <w:p w14:paraId="1862C583">
            <w:pPr>
              <w:spacing w:line="360" w:lineRule="auto"/>
              <w:ind w:firstLine="960" w:firstLineChars="4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（五）对教师的要求</w:t>
            </w:r>
          </w:p>
        </w:tc>
        <w:tc>
          <w:tcPr>
            <w:tcW w:w="1915" w:type="dxa"/>
            <w:tcBorders>
              <w:tl2br w:val="nil"/>
              <w:tr2bl w:val="nil"/>
            </w:tcBorders>
            <w:vAlign w:val="center"/>
          </w:tcPr>
          <w:p w14:paraId="6D04217F">
            <w:pPr>
              <w:spacing w:line="360" w:lineRule="auto"/>
              <w:rPr>
                <w:rFonts w:ascii="Times New Roman" w:hAnsi="Times New Roman"/>
                <w:sz w:val="24"/>
                <w:szCs w:val="24"/>
              </w:rPr>
            </w:pPr>
            <w:r>
              <w:rPr>
                <w:rFonts w:hint="eastAsia" w:ascii="Times New Roman" w:hAnsi="Times New Roman"/>
                <w:sz w:val="24"/>
                <w:szCs w:val="24"/>
              </w:rPr>
              <w:t>通过案例导入，讲解文艺复兴时期的教育改革，从而激发学生的学习欲望。</w:t>
            </w:r>
          </w:p>
        </w:tc>
      </w:tr>
      <w:tr w14:paraId="43EC01B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5F22CD3">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课堂小结（3min）</w:t>
            </w:r>
          </w:p>
        </w:tc>
        <w:tc>
          <w:tcPr>
            <w:tcW w:w="7479" w:type="dxa"/>
            <w:tcBorders>
              <w:tl2br w:val="nil"/>
              <w:tr2bl w:val="nil"/>
            </w:tcBorders>
            <w:vAlign w:val="center"/>
          </w:tcPr>
          <w:p w14:paraId="1C6018D9">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2F3C732A">
            <w:pPr>
              <w:spacing w:line="360" w:lineRule="auto"/>
              <w:ind w:firstLine="480" w:firstLineChars="200"/>
              <w:rPr>
                <w:rFonts w:hAnsi="宋体"/>
                <w:bCs/>
                <w:sz w:val="24"/>
                <w:szCs w:val="24"/>
              </w:rPr>
            </w:pPr>
            <w:r>
              <w:rPr>
                <w:rFonts w:hint="eastAsia" w:hAnsi="宋体"/>
                <w:bCs/>
                <w:sz w:val="24"/>
                <w:szCs w:val="24"/>
              </w:rPr>
              <w:t>这节课我们一起学习了解了，文艺复兴时期的教育改革。</w:t>
            </w:r>
          </w:p>
        </w:tc>
        <w:tc>
          <w:tcPr>
            <w:tcW w:w="1915" w:type="dxa"/>
            <w:tcBorders>
              <w:tl2br w:val="nil"/>
              <w:tr2bl w:val="nil"/>
            </w:tcBorders>
            <w:vAlign w:val="center"/>
          </w:tcPr>
          <w:p w14:paraId="22998BB8">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739E6AD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BED9E90">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48E23A6C">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15AEC8A5">
            <w:pPr>
              <w:spacing w:line="360" w:lineRule="auto"/>
              <w:rPr>
                <w:rFonts w:ascii="宋体" w:hAnsi="宋体" w:cs="宋体"/>
                <w:bCs/>
                <w:color w:val="C00000"/>
                <w:sz w:val="24"/>
                <w:szCs w:val="24"/>
                <w:lang w:bidi="ar"/>
              </w:rPr>
            </w:pPr>
            <w:bookmarkStart w:id="2" w:name="OLE_LINK7"/>
            <w:r>
              <w:rPr>
                <w:rFonts w:hint="eastAsia" w:ascii="宋体" w:hAnsi="宋体" w:cs="宋体"/>
                <w:color w:val="C00000"/>
                <w:sz w:val="24"/>
                <w:szCs w:val="24"/>
                <w:lang w:bidi="ar"/>
              </w:rPr>
              <w:t>【教师】</w:t>
            </w:r>
            <w:bookmarkEnd w:id="2"/>
            <w:bookmarkStart w:id="3" w:name="OLE_LINK8"/>
            <w:bookmarkStart w:id="4" w:name="OLE_LINK6"/>
            <w:r>
              <w:rPr>
                <w:rFonts w:hint="eastAsia" w:ascii="宋体" w:hAnsi="宋体" w:cs="宋体"/>
                <w:bCs/>
                <w:color w:val="C00000"/>
                <w:sz w:val="24"/>
                <w:szCs w:val="24"/>
                <w:lang w:bidi="ar"/>
              </w:rPr>
              <w:t>夸美纽斯的学前教育理论</w:t>
            </w:r>
            <w:bookmarkEnd w:id="3"/>
            <w:bookmarkEnd w:id="4"/>
          </w:p>
          <w:p w14:paraId="7111E32F">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一、生平活动与著作</w:t>
            </w:r>
          </w:p>
          <w:p w14:paraId="0376C0FF">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夸美纽斯是17世纪杰克教育实践家和理论家，西方近代教育理论的奠基人。</w:t>
            </w:r>
          </w:p>
          <w:p w14:paraId="25F8538A">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1.夸美纽斯的教育代表作有：《母育学校》1652年改名为《幼儿学校》2.《大教学论》3.《世界图解》</w:t>
            </w:r>
          </w:p>
          <w:p w14:paraId="4A684E91">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二、论教育的主导原则</w:t>
            </w:r>
          </w:p>
          <w:p w14:paraId="7490AB09">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“教育适应自然”或称自然适应性，是夸美纽斯提出的教育主导原则。所谓适应自然，按照夸美纽斯的解释，主要指的是遵循自然界的“秩序”。</w:t>
            </w:r>
          </w:p>
          <w:p w14:paraId="2AEA37EF">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三、论儿童观和幼儿教育的重要性</w:t>
            </w:r>
          </w:p>
          <w:p w14:paraId="664EFBAD">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夸美纽斯的学前教育思想是立足于深信学前教育的重要意义这一基础上的。他从教育适应自然的原则出发，把儿童比作种子、嫩芽等，认为如果要将儿童培养成有用的人就必须在他身心形成的最早阶段就开始教育，声称“任何人在幼年时代播下什么样的种子，那她老年时候就会收获什么样的果实”。为此，夸美纽斯呼吁父母们要承担起孩子的教育责任，他批评当时社会上一些人对父母义务的误解。</w:t>
            </w:r>
          </w:p>
          <w:p w14:paraId="5EEE0695">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四、论母育学校的性质、意义和任务</w:t>
            </w:r>
          </w:p>
          <w:p w14:paraId="7F806A9B">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夸美纽斯依据其民主信念及适应自然的思想，在《大教学论》中构筑了一个适用于一切男女儿童的4级单轨学制：1.从出生到6岁，为婴幼儿期,儿童在母育学校接受家庭教育；2.6～12岁,为童年期，儿童由设在每个村落的国语学校进行初必须教育；3.12～18岁，为少年期，由设在每个城市的拉丁语学校实施教育；4.18～24岁为青年期。通过设于省和王国的大学接受高等教育。</w:t>
            </w:r>
          </w:p>
          <w:p w14:paraId="20C0EC01">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五、论母育学校的教育内容及用书</w:t>
            </w:r>
          </w:p>
          <w:p w14:paraId="6C4D4146">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（一）保健</w:t>
            </w:r>
          </w:p>
          <w:p w14:paraId="2CAAFC04">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（二）德育</w:t>
            </w:r>
          </w:p>
          <w:p w14:paraId="7C05B5C5">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（三）智育</w:t>
            </w:r>
          </w:p>
          <w:p w14:paraId="47E35122">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（四）父母教育指导书及教材</w:t>
            </w:r>
          </w:p>
          <w:p w14:paraId="54A4ECFF">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六、论幼儿的游戏及玩具</w:t>
            </w:r>
          </w:p>
          <w:p w14:paraId="472190FC">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 xml:space="preserve">（一）活动及游戏 </w:t>
            </w:r>
          </w:p>
          <w:p w14:paraId="05FEE79D">
            <w:pPr>
              <w:spacing w:line="360" w:lineRule="auto"/>
              <w:ind w:firstLine="960" w:firstLineChars="400"/>
              <w:rPr>
                <w:rFonts w:ascii="宋体" w:hAnsi="宋体" w:cs="宋体"/>
                <w:bCs/>
                <w:sz w:val="24"/>
                <w:szCs w:val="24"/>
                <w:lang w:bidi="ar"/>
              </w:rPr>
            </w:pPr>
            <w:r>
              <w:rPr>
                <w:rFonts w:hint="eastAsia" w:ascii="宋体" w:hAnsi="宋体" w:cs="宋体"/>
                <w:bCs/>
                <w:sz w:val="24"/>
                <w:szCs w:val="24"/>
                <w:lang w:bidi="ar"/>
              </w:rPr>
              <w:t>（二）玩具</w:t>
            </w:r>
          </w:p>
          <w:p w14:paraId="2F87CB04">
            <w:pPr>
              <w:spacing w:line="360" w:lineRule="auto"/>
              <w:ind w:firstLine="964" w:firstLineChars="400"/>
              <w:rPr>
                <w:rFonts w:ascii="宋体" w:hAnsi="宋体" w:cs="宋体"/>
                <w:b/>
                <w:bCs/>
                <w:sz w:val="24"/>
                <w:szCs w:val="24"/>
                <w:lang w:bidi="ar"/>
              </w:rPr>
            </w:pPr>
            <w:r>
              <w:rPr>
                <w:rFonts w:hint="eastAsia" w:ascii="宋体" w:hAnsi="宋体" w:cs="宋体"/>
                <w:b/>
                <w:bCs/>
                <w:sz w:val="24"/>
                <w:szCs w:val="24"/>
                <w:lang w:bidi="ar"/>
              </w:rPr>
              <w:t>七、论幼儿的劳动教育和语言发展</w:t>
            </w:r>
          </w:p>
          <w:p w14:paraId="56BEE0A8">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（一）劳动习惯和手的技能培养</w:t>
            </w:r>
          </w:p>
          <w:p w14:paraId="48415608">
            <w:pPr>
              <w:spacing w:line="360" w:lineRule="auto"/>
              <w:ind w:firstLine="960" w:firstLineChars="400"/>
              <w:rPr>
                <w:rFonts w:hint="eastAsia" w:ascii="宋体" w:hAnsi="宋体" w:cs="宋体"/>
                <w:bCs/>
                <w:sz w:val="24"/>
                <w:szCs w:val="24"/>
                <w:lang w:bidi="ar"/>
              </w:rPr>
            </w:pPr>
            <w:r>
              <w:rPr>
                <w:rFonts w:hint="eastAsia" w:ascii="宋体" w:hAnsi="宋体" w:cs="宋体"/>
                <w:bCs/>
                <w:sz w:val="24"/>
                <w:szCs w:val="24"/>
                <w:lang w:bidi="ar"/>
              </w:rPr>
              <w:t>（二）语言发展</w:t>
            </w:r>
          </w:p>
          <w:p w14:paraId="4093ABEC">
            <w:pPr>
              <w:spacing w:line="360" w:lineRule="auto"/>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4BA6E9C8">
            <w:pPr>
              <w:spacing w:line="360" w:lineRule="auto"/>
              <w:rPr>
                <w:rFonts w:ascii="Times New Roman" w:hAnsi="Times New Roman"/>
                <w:sz w:val="24"/>
                <w:szCs w:val="24"/>
              </w:rPr>
            </w:pPr>
            <w:r>
              <w:rPr>
                <w:rFonts w:hint="eastAsia" w:ascii="Times New Roman" w:hAnsi="Times New Roman"/>
                <w:sz w:val="24"/>
                <w:szCs w:val="24"/>
              </w:rPr>
              <w:t>夸美纽斯提出，某儿童是否适宜进入公共系学校学习，可看该儿童应符合哪些标准？</w:t>
            </w:r>
          </w:p>
        </w:tc>
        <w:tc>
          <w:tcPr>
            <w:tcW w:w="1915" w:type="dxa"/>
            <w:tcBorders>
              <w:tl2br w:val="nil"/>
              <w:tr2bl w:val="nil"/>
            </w:tcBorders>
            <w:vAlign w:val="center"/>
          </w:tcPr>
          <w:p w14:paraId="0AB13500">
            <w:pPr>
              <w:spacing w:line="360" w:lineRule="auto"/>
              <w:rPr>
                <w:rFonts w:ascii="Times New Roman" w:hAnsi="Times New Roman"/>
                <w:bCs/>
                <w:sz w:val="24"/>
                <w:szCs w:val="24"/>
              </w:rPr>
            </w:pPr>
            <w:r>
              <w:rPr>
                <w:rFonts w:hint="eastAsia" w:ascii="Times New Roman" w:hAnsi="Times New Roman"/>
                <w:bCs/>
                <w:sz w:val="24"/>
                <w:szCs w:val="24"/>
              </w:rPr>
              <w:t>通过教师讲解，了解夸美纽斯的学前教育理论。</w:t>
            </w:r>
          </w:p>
        </w:tc>
      </w:tr>
      <w:tr w14:paraId="11FBEB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6AA0E3A">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课堂小结</w:t>
            </w:r>
          </w:p>
          <w:p w14:paraId="3F92FC22">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（3min）</w:t>
            </w:r>
          </w:p>
        </w:tc>
        <w:tc>
          <w:tcPr>
            <w:tcW w:w="7479" w:type="dxa"/>
            <w:tcBorders>
              <w:tl2br w:val="nil"/>
              <w:tr2bl w:val="nil"/>
            </w:tcBorders>
            <w:vAlign w:val="center"/>
          </w:tcPr>
          <w:p w14:paraId="5D88B196">
            <w:pPr>
              <w:spacing w:line="360" w:lineRule="auto"/>
              <w:rPr>
                <w:rFonts w:ascii="Times New Roman" w:hAnsi="Times New Roman"/>
                <w:sz w:val="24"/>
                <w:szCs w:val="24"/>
              </w:rPr>
            </w:pPr>
            <w:bookmarkStart w:id="5" w:name="OLE_LINK2"/>
            <w:r>
              <w:rPr>
                <w:rFonts w:hint="eastAsia" w:ascii="宋体" w:hAnsi="宋体" w:cs="宋体"/>
                <w:color w:val="CC0066"/>
                <w:sz w:val="24"/>
                <w:szCs w:val="24"/>
                <w:lang w:bidi="ar"/>
              </w:rPr>
              <w:t>【教师】回顾和总结本节课的知识点。</w:t>
            </w:r>
          </w:p>
          <w:bookmarkEnd w:id="5"/>
          <w:p w14:paraId="1643AAD8">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这节课我们一起学习了夸美纽斯的学前教育理论。</w:t>
            </w:r>
          </w:p>
        </w:tc>
        <w:tc>
          <w:tcPr>
            <w:tcW w:w="1915" w:type="dxa"/>
            <w:tcBorders>
              <w:tl2br w:val="nil"/>
              <w:tr2bl w:val="nil"/>
            </w:tcBorders>
            <w:vAlign w:val="center"/>
          </w:tcPr>
          <w:p w14:paraId="408674E5">
            <w:pPr>
              <w:spacing w:line="360" w:lineRule="auto"/>
              <w:rPr>
                <w:rFonts w:ascii="Times New Roman" w:hAnsi="Times New Roman"/>
                <w:sz w:val="24"/>
                <w:szCs w:val="24"/>
              </w:rPr>
            </w:pPr>
            <w:bookmarkStart w:id="6" w:name="OLE_LINK4"/>
            <w:bookmarkStart w:id="7" w:name="OLE_LINK3"/>
            <w:r>
              <w:rPr>
                <w:rFonts w:hint="eastAsia" w:ascii="宋体" w:hAnsi="宋体" w:cs="宋体"/>
                <w:sz w:val="24"/>
                <w:szCs w:val="24"/>
                <w:lang w:bidi="ar"/>
              </w:rPr>
              <w:t>通过对所学知识的回顾，培养学生的归纳总结能力</w:t>
            </w:r>
            <w:bookmarkEnd w:id="6"/>
            <w:bookmarkEnd w:id="7"/>
          </w:p>
        </w:tc>
      </w:tr>
      <w:tr w14:paraId="40C4964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2D647E3">
            <w:pPr>
              <w:ind w:left="8"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作业布置（2min）</w:t>
            </w:r>
          </w:p>
        </w:tc>
        <w:tc>
          <w:tcPr>
            <w:tcW w:w="7479" w:type="dxa"/>
            <w:tcBorders>
              <w:tl2br w:val="nil"/>
              <w:tr2bl w:val="nil"/>
            </w:tcBorders>
            <w:vAlign w:val="center"/>
          </w:tcPr>
          <w:p w14:paraId="42DD3174">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079FA56A">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4883677E">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7FFD5AB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EABEF6C">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教学反思</w:t>
            </w:r>
          </w:p>
        </w:tc>
        <w:tc>
          <w:tcPr>
            <w:tcW w:w="9394" w:type="dxa"/>
            <w:gridSpan w:val="2"/>
            <w:tcBorders>
              <w:tl2br w:val="nil"/>
              <w:tr2bl w:val="nil"/>
            </w:tcBorders>
            <w:vAlign w:val="center"/>
          </w:tcPr>
          <w:p w14:paraId="463A347C">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bookmarkEnd w:id="8"/>
    </w:tbl>
    <w:p w14:paraId="2484F86D"/>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A232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E3E88">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0A3F5">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BF79D">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76FF8">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BF1CB">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66B96"/>
    <w:rsid w:val="00085814"/>
    <w:rsid w:val="00086D0B"/>
    <w:rsid w:val="000875D2"/>
    <w:rsid w:val="000907E3"/>
    <w:rsid w:val="000A4274"/>
    <w:rsid w:val="000B19B1"/>
    <w:rsid w:val="000B265C"/>
    <w:rsid w:val="000B4C54"/>
    <w:rsid w:val="000B4C62"/>
    <w:rsid w:val="000C07BD"/>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2447"/>
    <w:rsid w:val="001769B1"/>
    <w:rsid w:val="00177278"/>
    <w:rsid w:val="00183A11"/>
    <w:rsid w:val="00195060"/>
    <w:rsid w:val="001A6E6C"/>
    <w:rsid w:val="001A70B3"/>
    <w:rsid w:val="001B36F7"/>
    <w:rsid w:val="001C4D6A"/>
    <w:rsid w:val="001D051E"/>
    <w:rsid w:val="001D3A8C"/>
    <w:rsid w:val="001E06FA"/>
    <w:rsid w:val="001E2B6C"/>
    <w:rsid w:val="001E4145"/>
    <w:rsid w:val="001E6D99"/>
    <w:rsid w:val="00200925"/>
    <w:rsid w:val="00202A1C"/>
    <w:rsid w:val="0020518E"/>
    <w:rsid w:val="002262BD"/>
    <w:rsid w:val="00231853"/>
    <w:rsid w:val="002329DE"/>
    <w:rsid w:val="00233CF2"/>
    <w:rsid w:val="00235F6C"/>
    <w:rsid w:val="00240B02"/>
    <w:rsid w:val="0024383A"/>
    <w:rsid w:val="00251B66"/>
    <w:rsid w:val="0026126D"/>
    <w:rsid w:val="00264BD5"/>
    <w:rsid w:val="00284B51"/>
    <w:rsid w:val="002878FB"/>
    <w:rsid w:val="00287C28"/>
    <w:rsid w:val="00291909"/>
    <w:rsid w:val="00292FEA"/>
    <w:rsid w:val="002A0216"/>
    <w:rsid w:val="002A2535"/>
    <w:rsid w:val="002A33A8"/>
    <w:rsid w:val="002A404C"/>
    <w:rsid w:val="002A4158"/>
    <w:rsid w:val="002B23CF"/>
    <w:rsid w:val="002B38E7"/>
    <w:rsid w:val="002B7185"/>
    <w:rsid w:val="002C110C"/>
    <w:rsid w:val="002C1F01"/>
    <w:rsid w:val="002D6662"/>
    <w:rsid w:val="002E184A"/>
    <w:rsid w:val="002E68A4"/>
    <w:rsid w:val="002E7294"/>
    <w:rsid w:val="003126FD"/>
    <w:rsid w:val="00315E59"/>
    <w:rsid w:val="00316415"/>
    <w:rsid w:val="00316DC3"/>
    <w:rsid w:val="00317AB5"/>
    <w:rsid w:val="00325F15"/>
    <w:rsid w:val="003529CF"/>
    <w:rsid w:val="00355D4B"/>
    <w:rsid w:val="00363658"/>
    <w:rsid w:val="003648FD"/>
    <w:rsid w:val="00365839"/>
    <w:rsid w:val="00365BD3"/>
    <w:rsid w:val="0039102B"/>
    <w:rsid w:val="0039306C"/>
    <w:rsid w:val="003937CA"/>
    <w:rsid w:val="003A663D"/>
    <w:rsid w:val="003B0CAE"/>
    <w:rsid w:val="003B2EE1"/>
    <w:rsid w:val="003B4179"/>
    <w:rsid w:val="003B6AA4"/>
    <w:rsid w:val="003C37D3"/>
    <w:rsid w:val="003C495D"/>
    <w:rsid w:val="003D045E"/>
    <w:rsid w:val="003D32FB"/>
    <w:rsid w:val="003D3443"/>
    <w:rsid w:val="003D4B07"/>
    <w:rsid w:val="003D77B0"/>
    <w:rsid w:val="003F1437"/>
    <w:rsid w:val="003F5B78"/>
    <w:rsid w:val="0040216F"/>
    <w:rsid w:val="00402F26"/>
    <w:rsid w:val="00410165"/>
    <w:rsid w:val="00414D6F"/>
    <w:rsid w:val="004359A6"/>
    <w:rsid w:val="00444506"/>
    <w:rsid w:val="0045341E"/>
    <w:rsid w:val="0047652A"/>
    <w:rsid w:val="0048143C"/>
    <w:rsid w:val="00481FC2"/>
    <w:rsid w:val="00485D5E"/>
    <w:rsid w:val="00486CAD"/>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14F01"/>
    <w:rsid w:val="00524802"/>
    <w:rsid w:val="00527968"/>
    <w:rsid w:val="00530E72"/>
    <w:rsid w:val="0053418A"/>
    <w:rsid w:val="0055010C"/>
    <w:rsid w:val="00572303"/>
    <w:rsid w:val="00591658"/>
    <w:rsid w:val="00594AC9"/>
    <w:rsid w:val="005A04FD"/>
    <w:rsid w:val="005B2198"/>
    <w:rsid w:val="005C3540"/>
    <w:rsid w:val="005E14DD"/>
    <w:rsid w:val="005F1D11"/>
    <w:rsid w:val="00601D08"/>
    <w:rsid w:val="00603EDE"/>
    <w:rsid w:val="00610D47"/>
    <w:rsid w:val="00630A0C"/>
    <w:rsid w:val="00631B96"/>
    <w:rsid w:val="00633C56"/>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662B"/>
    <w:rsid w:val="0069310C"/>
    <w:rsid w:val="00693C47"/>
    <w:rsid w:val="00694463"/>
    <w:rsid w:val="006960C8"/>
    <w:rsid w:val="006B59A6"/>
    <w:rsid w:val="006B731C"/>
    <w:rsid w:val="006C4F4C"/>
    <w:rsid w:val="006C7EE8"/>
    <w:rsid w:val="006D0589"/>
    <w:rsid w:val="006E0ED7"/>
    <w:rsid w:val="006E11D0"/>
    <w:rsid w:val="006E1507"/>
    <w:rsid w:val="006E632B"/>
    <w:rsid w:val="006F0174"/>
    <w:rsid w:val="006F5420"/>
    <w:rsid w:val="006F683D"/>
    <w:rsid w:val="006F6EAC"/>
    <w:rsid w:val="00703C88"/>
    <w:rsid w:val="00706624"/>
    <w:rsid w:val="00721607"/>
    <w:rsid w:val="00727DA5"/>
    <w:rsid w:val="00732B84"/>
    <w:rsid w:val="00764EAE"/>
    <w:rsid w:val="007665D6"/>
    <w:rsid w:val="00771CB7"/>
    <w:rsid w:val="00774A06"/>
    <w:rsid w:val="007A1149"/>
    <w:rsid w:val="007A45BB"/>
    <w:rsid w:val="007B59A7"/>
    <w:rsid w:val="007C5ECB"/>
    <w:rsid w:val="007D07DC"/>
    <w:rsid w:val="007E135C"/>
    <w:rsid w:val="007F52A3"/>
    <w:rsid w:val="00820AB4"/>
    <w:rsid w:val="008373CE"/>
    <w:rsid w:val="0084469D"/>
    <w:rsid w:val="0084547D"/>
    <w:rsid w:val="00854400"/>
    <w:rsid w:val="0086345D"/>
    <w:rsid w:val="00867F7F"/>
    <w:rsid w:val="00881A37"/>
    <w:rsid w:val="00883C23"/>
    <w:rsid w:val="00895FF2"/>
    <w:rsid w:val="008A0B8D"/>
    <w:rsid w:val="008A12A5"/>
    <w:rsid w:val="008A17A6"/>
    <w:rsid w:val="008B65CA"/>
    <w:rsid w:val="008B7BB5"/>
    <w:rsid w:val="008C584A"/>
    <w:rsid w:val="008D0DCA"/>
    <w:rsid w:val="008D5353"/>
    <w:rsid w:val="008D7EF6"/>
    <w:rsid w:val="008E003C"/>
    <w:rsid w:val="008E6A68"/>
    <w:rsid w:val="008F27D3"/>
    <w:rsid w:val="008F2E57"/>
    <w:rsid w:val="008F6E17"/>
    <w:rsid w:val="009056B5"/>
    <w:rsid w:val="00906F30"/>
    <w:rsid w:val="009129DE"/>
    <w:rsid w:val="00914FD9"/>
    <w:rsid w:val="00916C28"/>
    <w:rsid w:val="00917F43"/>
    <w:rsid w:val="00920641"/>
    <w:rsid w:val="00922F12"/>
    <w:rsid w:val="00926265"/>
    <w:rsid w:val="00935858"/>
    <w:rsid w:val="00943102"/>
    <w:rsid w:val="009444B5"/>
    <w:rsid w:val="00944501"/>
    <w:rsid w:val="00966471"/>
    <w:rsid w:val="0098073E"/>
    <w:rsid w:val="00983008"/>
    <w:rsid w:val="00984F92"/>
    <w:rsid w:val="00996E2D"/>
    <w:rsid w:val="009B07F3"/>
    <w:rsid w:val="009B3A40"/>
    <w:rsid w:val="009C0AE0"/>
    <w:rsid w:val="009C3CC9"/>
    <w:rsid w:val="009C65CB"/>
    <w:rsid w:val="009D1C47"/>
    <w:rsid w:val="009D2B40"/>
    <w:rsid w:val="009E362F"/>
    <w:rsid w:val="009F1D67"/>
    <w:rsid w:val="009F43F0"/>
    <w:rsid w:val="009F56A2"/>
    <w:rsid w:val="00A00006"/>
    <w:rsid w:val="00A01CBA"/>
    <w:rsid w:val="00A03BF7"/>
    <w:rsid w:val="00A07398"/>
    <w:rsid w:val="00A1764A"/>
    <w:rsid w:val="00A361DC"/>
    <w:rsid w:val="00A61ADE"/>
    <w:rsid w:val="00A65E57"/>
    <w:rsid w:val="00A66F98"/>
    <w:rsid w:val="00A77EDC"/>
    <w:rsid w:val="00A9481A"/>
    <w:rsid w:val="00AB118B"/>
    <w:rsid w:val="00AC0908"/>
    <w:rsid w:val="00AC16F9"/>
    <w:rsid w:val="00AC478F"/>
    <w:rsid w:val="00AC774E"/>
    <w:rsid w:val="00AD0743"/>
    <w:rsid w:val="00AD38C8"/>
    <w:rsid w:val="00AE4AF0"/>
    <w:rsid w:val="00AE5721"/>
    <w:rsid w:val="00AE683A"/>
    <w:rsid w:val="00AF4D84"/>
    <w:rsid w:val="00B16242"/>
    <w:rsid w:val="00B16373"/>
    <w:rsid w:val="00B2045D"/>
    <w:rsid w:val="00B21432"/>
    <w:rsid w:val="00B25457"/>
    <w:rsid w:val="00B26D0D"/>
    <w:rsid w:val="00B35660"/>
    <w:rsid w:val="00B3567A"/>
    <w:rsid w:val="00B364A8"/>
    <w:rsid w:val="00B4272D"/>
    <w:rsid w:val="00B47365"/>
    <w:rsid w:val="00B537F5"/>
    <w:rsid w:val="00B604E2"/>
    <w:rsid w:val="00B7231E"/>
    <w:rsid w:val="00B745DF"/>
    <w:rsid w:val="00B80469"/>
    <w:rsid w:val="00B8084C"/>
    <w:rsid w:val="00B8585D"/>
    <w:rsid w:val="00BA0DFD"/>
    <w:rsid w:val="00BA3017"/>
    <w:rsid w:val="00BA4527"/>
    <w:rsid w:val="00BB0931"/>
    <w:rsid w:val="00BB6C06"/>
    <w:rsid w:val="00BB79B5"/>
    <w:rsid w:val="00BC0CDD"/>
    <w:rsid w:val="00BD44BE"/>
    <w:rsid w:val="00BD4558"/>
    <w:rsid w:val="00BF4125"/>
    <w:rsid w:val="00BF7295"/>
    <w:rsid w:val="00C020F4"/>
    <w:rsid w:val="00C03EBC"/>
    <w:rsid w:val="00C12DED"/>
    <w:rsid w:val="00C13010"/>
    <w:rsid w:val="00C13A18"/>
    <w:rsid w:val="00C15D93"/>
    <w:rsid w:val="00C15FA0"/>
    <w:rsid w:val="00C25BBA"/>
    <w:rsid w:val="00C32B34"/>
    <w:rsid w:val="00C3793E"/>
    <w:rsid w:val="00C538F6"/>
    <w:rsid w:val="00C539B3"/>
    <w:rsid w:val="00C62DB9"/>
    <w:rsid w:val="00C65E83"/>
    <w:rsid w:val="00C710BF"/>
    <w:rsid w:val="00C72F5C"/>
    <w:rsid w:val="00C757FF"/>
    <w:rsid w:val="00C75A36"/>
    <w:rsid w:val="00C8147F"/>
    <w:rsid w:val="00C870A5"/>
    <w:rsid w:val="00C913C9"/>
    <w:rsid w:val="00CA4BEA"/>
    <w:rsid w:val="00CB086C"/>
    <w:rsid w:val="00CB4DC5"/>
    <w:rsid w:val="00CC1ED3"/>
    <w:rsid w:val="00CC51AA"/>
    <w:rsid w:val="00CC69F7"/>
    <w:rsid w:val="00CD06A1"/>
    <w:rsid w:val="00CD5851"/>
    <w:rsid w:val="00D019D7"/>
    <w:rsid w:val="00D046A4"/>
    <w:rsid w:val="00D1142A"/>
    <w:rsid w:val="00D16386"/>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A70B9"/>
    <w:rsid w:val="00DB13C3"/>
    <w:rsid w:val="00DB2AB8"/>
    <w:rsid w:val="00DB4228"/>
    <w:rsid w:val="00DB55B3"/>
    <w:rsid w:val="00DB7A7E"/>
    <w:rsid w:val="00DC0439"/>
    <w:rsid w:val="00DC2395"/>
    <w:rsid w:val="00DC2957"/>
    <w:rsid w:val="00DD1421"/>
    <w:rsid w:val="00DD4D1B"/>
    <w:rsid w:val="00DE7948"/>
    <w:rsid w:val="00DF4461"/>
    <w:rsid w:val="00DF515A"/>
    <w:rsid w:val="00E0214F"/>
    <w:rsid w:val="00E032D4"/>
    <w:rsid w:val="00E04B69"/>
    <w:rsid w:val="00E0715F"/>
    <w:rsid w:val="00E07316"/>
    <w:rsid w:val="00E12FD7"/>
    <w:rsid w:val="00E31AE7"/>
    <w:rsid w:val="00E5322C"/>
    <w:rsid w:val="00E54598"/>
    <w:rsid w:val="00E5467F"/>
    <w:rsid w:val="00E556B1"/>
    <w:rsid w:val="00E665E3"/>
    <w:rsid w:val="00E722E8"/>
    <w:rsid w:val="00E730DA"/>
    <w:rsid w:val="00E77BE9"/>
    <w:rsid w:val="00E867CA"/>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206F"/>
    <w:rsid w:val="00F658F4"/>
    <w:rsid w:val="00F72692"/>
    <w:rsid w:val="00F75EB8"/>
    <w:rsid w:val="00F84C5E"/>
    <w:rsid w:val="00F90405"/>
    <w:rsid w:val="00F94A21"/>
    <w:rsid w:val="00F96231"/>
    <w:rsid w:val="00FC1E8A"/>
    <w:rsid w:val="00FD29F5"/>
    <w:rsid w:val="00FD5DA0"/>
    <w:rsid w:val="00FF43FF"/>
    <w:rsid w:val="00FF4BDE"/>
    <w:rsid w:val="01516D93"/>
    <w:rsid w:val="027B08F2"/>
    <w:rsid w:val="061F1E41"/>
    <w:rsid w:val="0AC91BFE"/>
    <w:rsid w:val="0D2F326C"/>
    <w:rsid w:val="0EFB3964"/>
    <w:rsid w:val="138E17D4"/>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7E60D93"/>
    <w:rsid w:val="5A7C6694"/>
    <w:rsid w:val="5C2D08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2172</Words>
  <Characters>2254</Characters>
  <Lines>17</Lines>
  <Paragraphs>4</Paragraphs>
  <TotalTime>1</TotalTime>
  <ScaleCrop>false</ScaleCrop>
  <LinksUpToDate>false</LinksUpToDate>
  <CharactersWithSpaces>2257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2025-07-29T13:19:00Z</dcterms:created>
  <dc:creator>DELL</dc:creator>
  <cp:lastModifiedBy>六月</cp:lastModifiedBy>
  <dcterms:modified xsi:type="dcterms:W3CDTF">2025-08-11T06:17:16Z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